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039E" w14:textId="77777777" w:rsidR="00607BB3" w:rsidRDefault="00607BB3" w:rsidP="006C0A5E">
      <w:pPr>
        <w:rPr>
          <w:b/>
          <w:bCs/>
          <w:sz w:val="32"/>
          <w:szCs w:val="32"/>
        </w:rPr>
      </w:pPr>
    </w:p>
    <w:p w14:paraId="0E923CD9" w14:textId="5BF5005E" w:rsidR="006C0A5E" w:rsidRPr="006C0A5E" w:rsidRDefault="006C0A5E" w:rsidP="006C0A5E">
      <w:pPr>
        <w:rPr>
          <w:b/>
          <w:bCs/>
          <w:sz w:val="36"/>
          <w:szCs w:val="36"/>
        </w:rPr>
      </w:pPr>
      <w:r w:rsidRPr="006C0A5E">
        <w:rPr>
          <w:b/>
          <w:bCs/>
          <w:sz w:val="36"/>
          <w:szCs w:val="36"/>
        </w:rPr>
        <w:t>Zeta Dynamics UK Ltd: Safeguarding Policy</w:t>
      </w:r>
    </w:p>
    <w:p w14:paraId="1B350356" w14:textId="77777777" w:rsidR="006C0A5E" w:rsidRPr="006C0A5E" w:rsidRDefault="006C0A5E" w:rsidP="008038FC">
      <w:pPr>
        <w:jc w:val="both"/>
      </w:pPr>
      <w:r w:rsidRPr="006C0A5E">
        <w:t>This policy is designed to protect the health, well-being, and human rights of everyone connected to Zeta Dynamics UK Ltd, including employees, clients, contractors, and the communities in which we operate. It encompasses protection from all forms of abuse, neglect, and exploitation, including the specific crimes of modern slavery and human trafficking.</w:t>
      </w:r>
    </w:p>
    <w:p w14:paraId="5BCDBE0D" w14:textId="77777777" w:rsidR="006C0A5E" w:rsidRPr="006C0A5E" w:rsidRDefault="006C0A5E" w:rsidP="006C0A5E">
      <w:pPr>
        <w:rPr>
          <w:b/>
          <w:bCs/>
        </w:rPr>
      </w:pPr>
      <w:r w:rsidRPr="006C0A5E">
        <w:rPr>
          <w:b/>
          <w:bCs/>
        </w:rPr>
        <w:t>1. Policy Statement and Scope</w:t>
      </w:r>
    </w:p>
    <w:p w14:paraId="7F00E152" w14:textId="77777777" w:rsidR="006C0A5E" w:rsidRPr="006C0A5E" w:rsidRDefault="006C0A5E" w:rsidP="008038FC">
      <w:pPr>
        <w:jc w:val="both"/>
      </w:pPr>
      <w:r w:rsidRPr="006C0A5E">
        <w:t>Zeta Dynamics UK Ltd has a </w:t>
      </w:r>
      <w:r w:rsidRPr="006C0A5E">
        <w:rPr>
          <w:b/>
          <w:bCs/>
        </w:rPr>
        <w:t>zero-tolerance approach to abuse, neglect, and exploitation in any form</w:t>
      </w:r>
      <w:r w:rsidRPr="006C0A5E">
        <w:t>. We are committed to acting ethically and with integrity, implementing effective systems to ensure such harms are not taking place within our business or supply chains. Our commitment extends to creating a safe environment for all, recognizing our responsibility to ensure people are not exploited and that their safety and rights are upheld.</w:t>
      </w:r>
    </w:p>
    <w:p w14:paraId="5FD0F681" w14:textId="77777777" w:rsidR="006C0A5E" w:rsidRPr="006C0A5E" w:rsidRDefault="006C0A5E" w:rsidP="006C0A5E">
      <w:r w:rsidRPr="006C0A5E">
        <w:t>This policy applies to all individuals working for or on behalf of the Company in any capacity. This includes all employees, directors, contractors, agency workers, volunteers, and business partners.</w:t>
      </w:r>
    </w:p>
    <w:p w14:paraId="6E8DAC78" w14:textId="77777777" w:rsidR="006C0A5E" w:rsidRPr="006C0A5E" w:rsidRDefault="006C0A5E" w:rsidP="006C0A5E">
      <w:r w:rsidRPr="006C0A5E">
        <w:rPr>
          <w:i/>
          <w:iCs/>
        </w:rPr>
        <w:t>Table: Core Safeguarding Principles</w:t>
      </w:r>
    </w:p>
    <w:tbl>
      <w:tblPr>
        <w:tblW w:w="85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119"/>
        <w:gridCol w:w="6461"/>
      </w:tblGrid>
      <w:tr w:rsidR="006C0A5E" w:rsidRPr="006C0A5E" w14:paraId="73A430D4" w14:textId="77777777" w:rsidTr="0068328E">
        <w:trPr>
          <w:trHeight w:val="15"/>
          <w:tblHeader/>
        </w:trPr>
        <w:tc>
          <w:tcPr>
            <w:tcW w:w="0" w:type="auto"/>
            <w:tcMar>
              <w:top w:w="150" w:type="dxa"/>
              <w:left w:w="0" w:type="dxa"/>
              <w:bottom w:w="150" w:type="dxa"/>
              <w:right w:w="240" w:type="dxa"/>
            </w:tcMar>
            <w:vAlign w:val="center"/>
            <w:hideMark/>
          </w:tcPr>
          <w:p w14:paraId="4C1E703A" w14:textId="77777777" w:rsidR="006C0A5E" w:rsidRPr="006C0A5E" w:rsidRDefault="006C0A5E" w:rsidP="00F867FB">
            <w:pPr>
              <w:spacing w:after="0" w:line="240" w:lineRule="auto"/>
              <w:ind w:left="142"/>
              <w:contextualSpacing/>
            </w:pPr>
            <w:r w:rsidRPr="006C0A5E">
              <w:rPr>
                <w:b/>
                <w:bCs/>
              </w:rPr>
              <w:t>Principle</w:t>
            </w:r>
          </w:p>
        </w:tc>
        <w:tc>
          <w:tcPr>
            <w:tcW w:w="0" w:type="auto"/>
            <w:tcMar>
              <w:top w:w="150" w:type="dxa"/>
              <w:left w:w="240" w:type="dxa"/>
              <w:bottom w:w="150" w:type="dxa"/>
              <w:right w:w="240" w:type="dxa"/>
            </w:tcMar>
            <w:vAlign w:val="center"/>
            <w:hideMark/>
          </w:tcPr>
          <w:p w14:paraId="46C44BFE" w14:textId="77777777" w:rsidR="006C0A5E" w:rsidRPr="006C0A5E" w:rsidRDefault="006C0A5E" w:rsidP="0068328E">
            <w:pPr>
              <w:spacing w:after="0" w:line="240" w:lineRule="auto"/>
              <w:contextualSpacing/>
            </w:pPr>
            <w:r w:rsidRPr="006C0A5E">
              <w:rPr>
                <w:b/>
                <w:bCs/>
              </w:rPr>
              <w:t>Description</w:t>
            </w:r>
          </w:p>
        </w:tc>
      </w:tr>
      <w:tr w:rsidR="006C0A5E" w:rsidRPr="006C0A5E" w14:paraId="6B1ED5FF" w14:textId="77777777" w:rsidTr="006C0A5E">
        <w:trPr>
          <w:trHeight w:val="345"/>
        </w:trPr>
        <w:tc>
          <w:tcPr>
            <w:tcW w:w="0" w:type="auto"/>
            <w:tcMar>
              <w:top w:w="150" w:type="dxa"/>
              <w:left w:w="0" w:type="dxa"/>
              <w:bottom w:w="150" w:type="dxa"/>
              <w:right w:w="240" w:type="dxa"/>
            </w:tcMar>
            <w:vAlign w:val="center"/>
            <w:hideMark/>
          </w:tcPr>
          <w:p w14:paraId="7CF221E2" w14:textId="77777777" w:rsidR="006C0A5E" w:rsidRPr="006C0A5E" w:rsidRDefault="006C0A5E" w:rsidP="00F867FB">
            <w:pPr>
              <w:spacing w:after="0" w:line="240" w:lineRule="auto"/>
              <w:ind w:left="142"/>
              <w:contextualSpacing/>
            </w:pPr>
            <w:r w:rsidRPr="006C0A5E">
              <w:rPr>
                <w:b/>
                <w:bCs/>
              </w:rPr>
              <w:t>Zero Tolerance</w:t>
            </w:r>
          </w:p>
        </w:tc>
        <w:tc>
          <w:tcPr>
            <w:tcW w:w="0" w:type="auto"/>
            <w:tcMar>
              <w:top w:w="150" w:type="dxa"/>
              <w:left w:w="240" w:type="dxa"/>
              <w:bottom w:w="150" w:type="dxa"/>
              <w:right w:w="0" w:type="dxa"/>
            </w:tcMar>
            <w:vAlign w:val="center"/>
            <w:hideMark/>
          </w:tcPr>
          <w:p w14:paraId="700AD874" w14:textId="77777777" w:rsidR="006C0A5E" w:rsidRPr="006C0A5E" w:rsidRDefault="006C0A5E" w:rsidP="0068328E">
            <w:pPr>
              <w:spacing w:after="0" w:line="240" w:lineRule="auto"/>
              <w:contextualSpacing/>
            </w:pPr>
            <w:r w:rsidRPr="006C0A5E">
              <w:t>No acceptance of abuse, neglect, or exploitation, including modern slavery.</w:t>
            </w:r>
          </w:p>
        </w:tc>
      </w:tr>
      <w:tr w:rsidR="006C0A5E" w:rsidRPr="006C0A5E" w14:paraId="4DE35D52" w14:textId="77777777" w:rsidTr="006C0A5E">
        <w:trPr>
          <w:trHeight w:val="333"/>
        </w:trPr>
        <w:tc>
          <w:tcPr>
            <w:tcW w:w="0" w:type="auto"/>
            <w:tcMar>
              <w:top w:w="150" w:type="dxa"/>
              <w:left w:w="0" w:type="dxa"/>
              <w:bottom w:w="150" w:type="dxa"/>
              <w:right w:w="240" w:type="dxa"/>
            </w:tcMar>
            <w:vAlign w:val="center"/>
            <w:hideMark/>
          </w:tcPr>
          <w:p w14:paraId="19047B38" w14:textId="772CC09C" w:rsidR="006C0A5E" w:rsidRPr="006C0A5E" w:rsidRDefault="006C0A5E" w:rsidP="00F867FB">
            <w:pPr>
              <w:spacing w:after="0" w:line="240" w:lineRule="auto"/>
              <w:ind w:left="142"/>
              <w:contextualSpacing/>
            </w:pPr>
            <w:r w:rsidRPr="006C0A5E">
              <w:rPr>
                <w:b/>
                <w:bCs/>
              </w:rPr>
              <w:t>Person-Centred</w:t>
            </w:r>
          </w:p>
        </w:tc>
        <w:tc>
          <w:tcPr>
            <w:tcW w:w="0" w:type="auto"/>
            <w:tcMar>
              <w:top w:w="150" w:type="dxa"/>
              <w:left w:w="240" w:type="dxa"/>
              <w:bottom w:w="150" w:type="dxa"/>
              <w:right w:w="0" w:type="dxa"/>
            </w:tcMar>
            <w:vAlign w:val="center"/>
            <w:hideMark/>
          </w:tcPr>
          <w:p w14:paraId="5BF7D641" w14:textId="77777777" w:rsidR="006C0A5E" w:rsidRPr="006C0A5E" w:rsidRDefault="006C0A5E" w:rsidP="0068328E">
            <w:pPr>
              <w:spacing w:after="0" w:line="240" w:lineRule="auto"/>
              <w:contextualSpacing/>
            </w:pPr>
            <w:r w:rsidRPr="006C0A5E">
              <w:t>Support tailored to the individual, based on dignity, compassion, and respect.</w:t>
            </w:r>
          </w:p>
        </w:tc>
      </w:tr>
      <w:tr w:rsidR="006C0A5E" w:rsidRPr="006C0A5E" w14:paraId="2F496C28" w14:textId="77777777" w:rsidTr="006C0A5E">
        <w:trPr>
          <w:trHeight w:val="345"/>
        </w:trPr>
        <w:tc>
          <w:tcPr>
            <w:tcW w:w="0" w:type="auto"/>
            <w:tcMar>
              <w:top w:w="150" w:type="dxa"/>
              <w:left w:w="0" w:type="dxa"/>
              <w:bottom w:w="150" w:type="dxa"/>
              <w:right w:w="240" w:type="dxa"/>
            </w:tcMar>
            <w:vAlign w:val="center"/>
            <w:hideMark/>
          </w:tcPr>
          <w:p w14:paraId="267FE73C" w14:textId="77777777" w:rsidR="006C0A5E" w:rsidRPr="006C0A5E" w:rsidRDefault="006C0A5E" w:rsidP="00F867FB">
            <w:pPr>
              <w:spacing w:after="0" w:line="240" w:lineRule="auto"/>
              <w:ind w:left="142"/>
              <w:contextualSpacing/>
            </w:pPr>
            <w:r w:rsidRPr="006C0A5E">
              <w:rPr>
                <w:b/>
                <w:bCs/>
              </w:rPr>
              <w:t>Trauma-Informed</w:t>
            </w:r>
          </w:p>
        </w:tc>
        <w:tc>
          <w:tcPr>
            <w:tcW w:w="0" w:type="auto"/>
            <w:tcMar>
              <w:top w:w="150" w:type="dxa"/>
              <w:left w:w="240" w:type="dxa"/>
              <w:bottom w:w="150" w:type="dxa"/>
              <w:right w:w="0" w:type="dxa"/>
            </w:tcMar>
            <w:vAlign w:val="center"/>
            <w:hideMark/>
          </w:tcPr>
          <w:p w14:paraId="13D6B779" w14:textId="77777777" w:rsidR="006C0A5E" w:rsidRPr="006C0A5E" w:rsidRDefault="006C0A5E" w:rsidP="0068328E">
            <w:pPr>
              <w:spacing w:after="0" w:line="240" w:lineRule="auto"/>
              <w:contextualSpacing/>
            </w:pPr>
            <w:r w:rsidRPr="006C0A5E">
              <w:t>Understanding the impact of trauma on individuals and responding appropriately.</w:t>
            </w:r>
          </w:p>
        </w:tc>
      </w:tr>
      <w:tr w:rsidR="006C0A5E" w:rsidRPr="006C0A5E" w14:paraId="4D3B70CB" w14:textId="77777777" w:rsidTr="0068328E">
        <w:trPr>
          <w:trHeight w:val="200"/>
        </w:trPr>
        <w:tc>
          <w:tcPr>
            <w:tcW w:w="0" w:type="auto"/>
            <w:tcMar>
              <w:top w:w="150" w:type="dxa"/>
              <w:left w:w="0" w:type="dxa"/>
              <w:bottom w:w="150" w:type="dxa"/>
              <w:right w:w="240" w:type="dxa"/>
            </w:tcMar>
            <w:vAlign w:val="center"/>
            <w:hideMark/>
          </w:tcPr>
          <w:p w14:paraId="2EC71426" w14:textId="77777777" w:rsidR="006C0A5E" w:rsidRPr="006C0A5E" w:rsidRDefault="006C0A5E" w:rsidP="00F867FB">
            <w:pPr>
              <w:spacing w:after="0" w:line="240" w:lineRule="auto"/>
              <w:ind w:left="142"/>
              <w:contextualSpacing/>
            </w:pPr>
            <w:r w:rsidRPr="006C0A5E">
              <w:rPr>
                <w:b/>
                <w:bCs/>
              </w:rPr>
              <w:t>Preventative</w:t>
            </w:r>
          </w:p>
        </w:tc>
        <w:tc>
          <w:tcPr>
            <w:tcW w:w="0" w:type="auto"/>
            <w:tcMar>
              <w:top w:w="150" w:type="dxa"/>
              <w:left w:w="240" w:type="dxa"/>
              <w:bottom w:w="150" w:type="dxa"/>
              <w:right w:w="0" w:type="dxa"/>
            </w:tcMar>
            <w:vAlign w:val="center"/>
            <w:hideMark/>
          </w:tcPr>
          <w:p w14:paraId="265CB293" w14:textId="77777777" w:rsidR="006C0A5E" w:rsidRPr="006C0A5E" w:rsidRDefault="006C0A5E" w:rsidP="0068328E">
            <w:pPr>
              <w:spacing w:after="0" w:line="240" w:lineRule="auto"/>
              <w:contextualSpacing/>
            </w:pPr>
            <w:r w:rsidRPr="006C0A5E">
              <w:t>Proactive identification and management of risks to prevent harm.</w:t>
            </w:r>
          </w:p>
        </w:tc>
      </w:tr>
      <w:tr w:rsidR="006C0A5E" w:rsidRPr="006C0A5E" w14:paraId="7CFECC3B" w14:textId="77777777" w:rsidTr="006C0A5E">
        <w:trPr>
          <w:trHeight w:val="345"/>
        </w:trPr>
        <w:tc>
          <w:tcPr>
            <w:tcW w:w="0" w:type="auto"/>
            <w:tcMar>
              <w:top w:w="150" w:type="dxa"/>
              <w:left w:w="0" w:type="dxa"/>
              <w:bottom w:w="150" w:type="dxa"/>
              <w:right w:w="240" w:type="dxa"/>
            </w:tcMar>
            <w:vAlign w:val="center"/>
            <w:hideMark/>
          </w:tcPr>
          <w:p w14:paraId="7C62E8D8" w14:textId="77777777" w:rsidR="006C0A5E" w:rsidRPr="006C0A5E" w:rsidRDefault="006C0A5E" w:rsidP="00F867FB">
            <w:pPr>
              <w:spacing w:after="0" w:line="240" w:lineRule="auto"/>
              <w:ind w:left="142"/>
              <w:contextualSpacing/>
            </w:pPr>
            <w:r w:rsidRPr="006C0A5E">
              <w:rPr>
                <w:b/>
                <w:bCs/>
              </w:rPr>
              <w:t>Accountable</w:t>
            </w:r>
          </w:p>
        </w:tc>
        <w:tc>
          <w:tcPr>
            <w:tcW w:w="0" w:type="auto"/>
            <w:tcMar>
              <w:top w:w="150" w:type="dxa"/>
              <w:left w:w="240" w:type="dxa"/>
              <w:bottom w:w="150" w:type="dxa"/>
              <w:right w:w="0" w:type="dxa"/>
            </w:tcMar>
            <w:vAlign w:val="center"/>
            <w:hideMark/>
          </w:tcPr>
          <w:p w14:paraId="798BA325" w14:textId="77777777" w:rsidR="006C0A5E" w:rsidRPr="006C0A5E" w:rsidRDefault="006C0A5E" w:rsidP="0068328E">
            <w:pPr>
              <w:spacing w:after="0" w:line="240" w:lineRule="auto"/>
              <w:contextualSpacing/>
            </w:pPr>
            <w:r w:rsidRPr="006C0A5E">
              <w:t>Clear lines of responsibility for implementing and upholding this policy.</w:t>
            </w:r>
          </w:p>
        </w:tc>
      </w:tr>
    </w:tbl>
    <w:p w14:paraId="53A02E6A" w14:textId="77777777" w:rsidR="0068328E" w:rsidRDefault="0068328E" w:rsidP="006C0A5E">
      <w:pPr>
        <w:rPr>
          <w:b/>
          <w:bCs/>
        </w:rPr>
      </w:pPr>
    </w:p>
    <w:p w14:paraId="55EDF522" w14:textId="17E8A8CB" w:rsidR="006C0A5E" w:rsidRPr="006C0A5E" w:rsidRDefault="006C0A5E" w:rsidP="00607BB3">
      <w:pPr>
        <w:spacing w:after="0"/>
        <w:rPr>
          <w:b/>
          <w:bCs/>
        </w:rPr>
      </w:pPr>
      <w:r w:rsidRPr="006C0A5E">
        <w:rPr>
          <w:b/>
          <w:bCs/>
        </w:rPr>
        <w:lastRenderedPageBreak/>
        <w:t>2. Definitions and Forms of Harm</w:t>
      </w:r>
    </w:p>
    <w:p w14:paraId="24E20361" w14:textId="77777777" w:rsidR="006C0A5E" w:rsidRPr="006C0A5E" w:rsidRDefault="006C0A5E" w:rsidP="00607BB3">
      <w:pPr>
        <w:spacing w:after="0"/>
      </w:pPr>
      <w:r w:rsidRPr="006C0A5E">
        <w:t>Safeguarding protects people from a wide range of harms:</w:t>
      </w:r>
    </w:p>
    <w:p w14:paraId="0DA8548B" w14:textId="77777777" w:rsidR="006C0A5E" w:rsidRPr="006C0A5E" w:rsidRDefault="006C0A5E" w:rsidP="00607BB3">
      <w:pPr>
        <w:numPr>
          <w:ilvl w:val="0"/>
          <w:numId w:val="1"/>
        </w:numPr>
        <w:spacing w:after="0"/>
      </w:pPr>
      <w:r w:rsidRPr="006C0A5E">
        <w:rPr>
          <w:b/>
          <w:bCs/>
        </w:rPr>
        <w:t>Modern Slavery</w:t>
      </w:r>
      <w:r w:rsidRPr="006C0A5E">
        <w:t>: A serious crime violating human rights, encompassing slavery, servitude, forced or compulsory labour, and human trafficking. Victims are forced, threatened, or deceived into situations of exploitation, control, and degradation.</w:t>
      </w:r>
    </w:p>
    <w:p w14:paraId="0DC003BC" w14:textId="77777777" w:rsidR="006C0A5E" w:rsidRPr="006C0A5E" w:rsidRDefault="006C0A5E" w:rsidP="00607BB3">
      <w:pPr>
        <w:numPr>
          <w:ilvl w:val="0"/>
          <w:numId w:val="1"/>
        </w:numPr>
        <w:spacing w:after="0"/>
      </w:pPr>
      <w:r w:rsidRPr="006C0A5E">
        <w:rPr>
          <w:b/>
          <w:bCs/>
        </w:rPr>
        <w:t>Other Safeguarding Concerns</w:t>
      </w:r>
      <w:r w:rsidRPr="006C0A5E">
        <w:t>: This also includes, but is not limited to, physical, sexual, or emotional abuse, neglect, financial exploitation, discrimination, and harassment.</w:t>
      </w:r>
    </w:p>
    <w:p w14:paraId="1A5BEF5B" w14:textId="77777777" w:rsidR="006C0A5E" w:rsidRPr="006C0A5E" w:rsidRDefault="006C0A5E" w:rsidP="00607BB3">
      <w:pPr>
        <w:spacing w:after="0"/>
      </w:pPr>
      <w:r w:rsidRPr="006C0A5E">
        <w:t>Indicators of modern slavery can be subtle and include:</w:t>
      </w:r>
    </w:p>
    <w:p w14:paraId="53FA4867" w14:textId="77777777" w:rsidR="006C0A5E" w:rsidRPr="006C0A5E" w:rsidRDefault="006C0A5E" w:rsidP="00607BB3">
      <w:pPr>
        <w:numPr>
          <w:ilvl w:val="0"/>
          <w:numId w:val="2"/>
        </w:numPr>
        <w:spacing w:after="0"/>
      </w:pPr>
      <w:r w:rsidRPr="006C0A5E">
        <w:t>Individuals appearing frightened, withdrawn, or under the control of others.</w:t>
      </w:r>
    </w:p>
    <w:p w14:paraId="43B88929" w14:textId="77777777" w:rsidR="006C0A5E" w:rsidRPr="006C0A5E" w:rsidRDefault="006C0A5E" w:rsidP="00607BB3">
      <w:pPr>
        <w:numPr>
          <w:ilvl w:val="0"/>
          <w:numId w:val="2"/>
        </w:numPr>
        <w:spacing w:after="0"/>
      </w:pPr>
      <w:r w:rsidRPr="006C0A5E">
        <w:t>Lack of personal possessions, identification documents, or freedom of movement.</w:t>
      </w:r>
    </w:p>
    <w:p w14:paraId="1972B965" w14:textId="77777777" w:rsidR="006C0A5E" w:rsidRPr="006C0A5E" w:rsidRDefault="006C0A5E" w:rsidP="00607BB3">
      <w:pPr>
        <w:numPr>
          <w:ilvl w:val="0"/>
          <w:numId w:val="2"/>
        </w:numPr>
        <w:spacing w:after="0"/>
      </w:pPr>
      <w:r w:rsidRPr="006C0A5E">
        <w:t>Signs of physical or psychological abuse, poor living conditions, or unsuitable clothing for work.</w:t>
      </w:r>
    </w:p>
    <w:p w14:paraId="613F26D0" w14:textId="77777777" w:rsidR="006C0A5E" w:rsidRPr="006C0A5E" w:rsidRDefault="006C0A5E" w:rsidP="00607BB3">
      <w:pPr>
        <w:numPr>
          <w:ilvl w:val="0"/>
          <w:numId w:val="2"/>
        </w:numPr>
        <w:spacing w:after="0"/>
      </w:pPr>
      <w:r w:rsidRPr="006C0A5E">
        <w:t>Working excessively long hours, not being paid, or having wages withheld.</w:t>
      </w:r>
    </w:p>
    <w:p w14:paraId="2FBA9CF0" w14:textId="77777777" w:rsidR="00607BB3" w:rsidRDefault="00607BB3" w:rsidP="00607BB3">
      <w:pPr>
        <w:spacing w:after="0"/>
        <w:rPr>
          <w:b/>
          <w:bCs/>
        </w:rPr>
      </w:pPr>
    </w:p>
    <w:p w14:paraId="4EC0F292" w14:textId="5731E211" w:rsidR="006C0A5E" w:rsidRPr="006C0A5E" w:rsidRDefault="006C0A5E" w:rsidP="00607BB3">
      <w:pPr>
        <w:spacing w:after="0"/>
        <w:rPr>
          <w:b/>
          <w:bCs/>
        </w:rPr>
      </w:pPr>
      <w:r w:rsidRPr="006C0A5E">
        <w:rPr>
          <w:b/>
          <w:bCs/>
        </w:rPr>
        <w:t>3. Roles and Responsibilities</w:t>
      </w:r>
    </w:p>
    <w:p w14:paraId="5B26B24A" w14:textId="77777777" w:rsidR="006C0A5E" w:rsidRPr="006C0A5E" w:rsidRDefault="006C0A5E" w:rsidP="00607BB3">
      <w:pPr>
        <w:numPr>
          <w:ilvl w:val="0"/>
          <w:numId w:val="3"/>
        </w:numPr>
        <w:spacing w:after="0"/>
      </w:pPr>
      <w:r w:rsidRPr="006C0A5E">
        <w:rPr>
          <w:b/>
          <w:bCs/>
        </w:rPr>
        <w:t>Board of Directors</w:t>
      </w:r>
      <w:r w:rsidRPr="006C0A5E">
        <w:t>: Has overall responsibility for ensuring this policy complies with legal and ethical obligations.</w:t>
      </w:r>
    </w:p>
    <w:p w14:paraId="7692A642" w14:textId="69CE7DBA" w:rsidR="006C0A5E" w:rsidRPr="006C0A5E" w:rsidRDefault="006C0A5E" w:rsidP="00607BB3">
      <w:pPr>
        <w:numPr>
          <w:ilvl w:val="0"/>
          <w:numId w:val="3"/>
        </w:numPr>
        <w:spacing w:after="0"/>
      </w:pPr>
      <w:r w:rsidRPr="006C0A5E">
        <w:rPr>
          <w:b/>
          <w:bCs/>
        </w:rPr>
        <w:t>Designated Safeguarding Lead (</w:t>
      </w:r>
      <w:r w:rsidR="0073203C" w:rsidRPr="0073203C">
        <w:rPr>
          <w:b/>
          <w:bCs/>
          <w:highlight w:val="yellow"/>
        </w:rPr>
        <w:t>A</w:t>
      </w:r>
      <w:r w:rsidR="00F867FB">
        <w:rPr>
          <w:b/>
          <w:bCs/>
          <w:highlight w:val="yellow"/>
        </w:rPr>
        <w:t>li</w:t>
      </w:r>
      <w:r w:rsidR="0073203C" w:rsidRPr="0073203C">
        <w:rPr>
          <w:b/>
          <w:bCs/>
          <w:highlight w:val="yellow"/>
        </w:rPr>
        <w:t xml:space="preserve"> Malik</w:t>
      </w:r>
      <w:r w:rsidRPr="006C0A5E">
        <w:rPr>
          <w:b/>
          <w:bCs/>
        </w:rPr>
        <w:t>)</w:t>
      </w:r>
      <w:r w:rsidRPr="006C0A5E">
        <w:t>: Has day-to-day responsibility for implementing this policy, monitoring its effectiveness, and investigating allegations.</w:t>
      </w:r>
    </w:p>
    <w:p w14:paraId="730128F6" w14:textId="77777777" w:rsidR="006C0A5E" w:rsidRPr="006C0A5E" w:rsidRDefault="006C0A5E" w:rsidP="00607BB3">
      <w:pPr>
        <w:numPr>
          <w:ilvl w:val="0"/>
          <w:numId w:val="3"/>
        </w:numPr>
        <w:spacing w:after="0"/>
      </w:pPr>
      <w:r w:rsidRPr="006C0A5E">
        <w:rPr>
          <w:b/>
          <w:bCs/>
        </w:rPr>
        <w:t>Line Managers</w:t>
      </w:r>
      <w:r w:rsidRPr="006C0A5E">
        <w:t>: Responsible for ensuring their teams understand and comply with this policy and for handling initial concerns appropriately.</w:t>
      </w:r>
    </w:p>
    <w:p w14:paraId="0E8D504B" w14:textId="77777777" w:rsidR="006C0A5E" w:rsidRPr="006C0A5E" w:rsidRDefault="006C0A5E" w:rsidP="00607BB3">
      <w:pPr>
        <w:numPr>
          <w:ilvl w:val="0"/>
          <w:numId w:val="3"/>
        </w:numPr>
        <w:spacing w:after="0"/>
      </w:pPr>
      <w:r w:rsidRPr="006C0A5E">
        <w:rPr>
          <w:b/>
          <w:bCs/>
        </w:rPr>
        <w:t>All Personnel</w:t>
      </w:r>
      <w:r w:rsidRPr="006C0A5E">
        <w:t>: Responsible for preventing, detecting, and reporting any safeguarding concerns. You must avoid any activity that might breach this policy and report any suspicions.</w:t>
      </w:r>
    </w:p>
    <w:p w14:paraId="6B73DEA9" w14:textId="77777777" w:rsidR="00607BB3" w:rsidRDefault="00607BB3" w:rsidP="00607BB3">
      <w:pPr>
        <w:spacing w:after="0"/>
        <w:rPr>
          <w:b/>
          <w:bCs/>
        </w:rPr>
      </w:pPr>
    </w:p>
    <w:p w14:paraId="5E4E0883" w14:textId="5F9ED590" w:rsidR="006C0A5E" w:rsidRPr="006C0A5E" w:rsidRDefault="006C0A5E" w:rsidP="00607BB3">
      <w:pPr>
        <w:spacing w:after="0"/>
        <w:rPr>
          <w:b/>
          <w:bCs/>
        </w:rPr>
      </w:pPr>
      <w:r w:rsidRPr="006C0A5E">
        <w:rPr>
          <w:b/>
          <w:bCs/>
        </w:rPr>
        <w:t>4. Reporting and Response Procedures</w:t>
      </w:r>
    </w:p>
    <w:p w14:paraId="72A97D6D" w14:textId="77777777" w:rsidR="006C0A5E" w:rsidRPr="006C0A5E" w:rsidRDefault="006C0A5E" w:rsidP="00607BB3">
      <w:pPr>
        <w:numPr>
          <w:ilvl w:val="0"/>
          <w:numId w:val="4"/>
        </w:numPr>
        <w:spacing w:after="0"/>
      </w:pPr>
      <w:r w:rsidRPr="006C0A5E">
        <w:rPr>
          <w:b/>
          <w:bCs/>
        </w:rPr>
        <w:t>Raise a Concern</w:t>
      </w:r>
      <w:r w:rsidRPr="006C0A5E">
        <w:t>: If you believe someone is in immediate danger, contact the emergency services (999). For non-immediate concerns, you must report them to your line manager or the Designated Safeguarding Lead as soon as possible.</w:t>
      </w:r>
    </w:p>
    <w:p w14:paraId="6B3DB7C1" w14:textId="77777777" w:rsidR="006C0A5E" w:rsidRPr="006C0A5E" w:rsidRDefault="006C0A5E" w:rsidP="00607BB3">
      <w:pPr>
        <w:numPr>
          <w:ilvl w:val="0"/>
          <w:numId w:val="4"/>
        </w:numPr>
        <w:spacing w:after="0"/>
      </w:pPr>
      <w:r w:rsidRPr="006C0A5E">
        <w:rPr>
          <w:b/>
          <w:bCs/>
        </w:rPr>
        <w:t>Open Culture</w:t>
      </w:r>
      <w:r w:rsidRPr="006C0A5E">
        <w:t>: The Company encourages openness and will support anyone who raises genuine concerns in good faith, even if mistaken. No one will suffer detrimental treatment for reporting in good faith.</w:t>
      </w:r>
    </w:p>
    <w:p w14:paraId="39BF5C60" w14:textId="77777777" w:rsidR="006C0A5E" w:rsidRPr="006C0A5E" w:rsidRDefault="006C0A5E" w:rsidP="00607BB3">
      <w:pPr>
        <w:numPr>
          <w:ilvl w:val="0"/>
          <w:numId w:val="4"/>
        </w:numPr>
        <w:spacing w:after="0"/>
      </w:pPr>
      <w:r w:rsidRPr="006C0A5E">
        <w:rPr>
          <w:b/>
          <w:bCs/>
        </w:rPr>
        <w:t>Internal Reporting</w:t>
      </w:r>
      <w:r w:rsidRPr="006C0A5E">
        <w:t>: Reports can be made in person, by email, or through the Company’s confidential reporting channels (e.g., whistleblowing policy).</w:t>
      </w:r>
    </w:p>
    <w:p w14:paraId="7D47B30D" w14:textId="77777777" w:rsidR="006C0A5E" w:rsidRPr="006C0A5E" w:rsidRDefault="006C0A5E" w:rsidP="00607BB3">
      <w:pPr>
        <w:numPr>
          <w:ilvl w:val="0"/>
          <w:numId w:val="4"/>
        </w:numPr>
        <w:spacing w:after="0"/>
      </w:pPr>
      <w:r w:rsidRPr="006C0A5E">
        <w:rPr>
          <w:b/>
          <w:bCs/>
        </w:rPr>
        <w:t>External Reporting</w:t>
      </w:r>
      <w:r w:rsidRPr="006C0A5E">
        <w:t>: You can also contact relevant authorities directly, such as the UK’s Modern Slavery Helpline at 0800 0121 700, local authority safeguarding teams, or the police.</w:t>
      </w:r>
    </w:p>
    <w:p w14:paraId="42ACF44E" w14:textId="77777777" w:rsidR="006C0A5E" w:rsidRPr="006C0A5E" w:rsidRDefault="006C0A5E" w:rsidP="00607BB3">
      <w:pPr>
        <w:numPr>
          <w:ilvl w:val="0"/>
          <w:numId w:val="4"/>
        </w:numPr>
        <w:spacing w:after="0"/>
      </w:pPr>
      <w:r w:rsidRPr="006C0A5E">
        <w:rPr>
          <w:b/>
          <w:bCs/>
        </w:rPr>
        <w:lastRenderedPageBreak/>
        <w:t>Response</w:t>
      </w:r>
      <w:r w:rsidRPr="006C0A5E">
        <w:t>: All reports will be taken seriously, investigated confidentially and sensitively, and appropriate action will be taken. This may involve internal disciplinary action, reporting to external agencies, and providing support to affected individuals.</w:t>
      </w:r>
    </w:p>
    <w:p w14:paraId="24649BDB" w14:textId="77777777" w:rsidR="00607BB3" w:rsidRDefault="00607BB3" w:rsidP="00607BB3">
      <w:pPr>
        <w:spacing w:after="0"/>
        <w:rPr>
          <w:b/>
          <w:bCs/>
        </w:rPr>
      </w:pPr>
    </w:p>
    <w:p w14:paraId="00253479" w14:textId="5132C962" w:rsidR="006C0A5E" w:rsidRPr="006C0A5E" w:rsidRDefault="006C0A5E" w:rsidP="00607BB3">
      <w:pPr>
        <w:spacing w:after="0"/>
        <w:rPr>
          <w:b/>
          <w:bCs/>
        </w:rPr>
      </w:pPr>
      <w:r w:rsidRPr="006C0A5E">
        <w:rPr>
          <w:b/>
          <w:bCs/>
        </w:rPr>
        <w:t>5. Safer Recruitment &amp; Due Diligence</w:t>
      </w:r>
    </w:p>
    <w:p w14:paraId="2E5ABB28" w14:textId="77777777" w:rsidR="006C0A5E" w:rsidRPr="006C0A5E" w:rsidRDefault="006C0A5E" w:rsidP="00607BB3">
      <w:pPr>
        <w:spacing w:after="0"/>
      </w:pPr>
      <w:r w:rsidRPr="006C0A5E">
        <w:t>To prevent harm, we implement rigorous recruitment and procurement checks:</w:t>
      </w:r>
    </w:p>
    <w:p w14:paraId="69CAC605" w14:textId="77777777" w:rsidR="006C0A5E" w:rsidRPr="006C0A5E" w:rsidRDefault="006C0A5E" w:rsidP="00607BB3">
      <w:pPr>
        <w:numPr>
          <w:ilvl w:val="0"/>
          <w:numId w:val="5"/>
        </w:numPr>
        <w:spacing w:after="0"/>
      </w:pPr>
      <w:r w:rsidRPr="006C0A5E">
        <w:t>Verify the right to work in the UK for all employees.</w:t>
      </w:r>
    </w:p>
    <w:p w14:paraId="231BA9E6" w14:textId="77777777" w:rsidR="006C0A5E" w:rsidRPr="006C0A5E" w:rsidRDefault="006C0A5E" w:rsidP="00607BB3">
      <w:pPr>
        <w:numPr>
          <w:ilvl w:val="0"/>
          <w:numId w:val="5"/>
        </w:numPr>
        <w:spacing w:after="0"/>
      </w:pPr>
      <w:r w:rsidRPr="006C0A5E">
        <w:t>Conduct appropriate background checks (e.g., DBS where relevant).</w:t>
      </w:r>
    </w:p>
    <w:p w14:paraId="7751AE99" w14:textId="77777777" w:rsidR="006C0A5E" w:rsidRPr="006C0A5E" w:rsidRDefault="006C0A5E" w:rsidP="00607BB3">
      <w:pPr>
        <w:numPr>
          <w:ilvl w:val="0"/>
          <w:numId w:val="5"/>
        </w:numPr>
        <w:spacing w:after="0"/>
      </w:pPr>
      <w:r w:rsidRPr="006C0A5E">
        <w:t>Assess supply chains for modern slavery risks, expecting all suppliers and contractors to meet our high ethical standards.</w:t>
      </w:r>
    </w:p>
    <w:p w14:paraId="13A41FD1" w14:textId="77777777" w:rsidR="006C0A5E" w:rsidRPr="006C0A5E" w:rsidRDefault="006C0A5E" w:rsidP="00607BB3">
      <w:pPr>
        <w:numPr>
          <w:ilvl w:val="0"/>
          <w:numId w:val="5"/>
        </w:numPr>
        <w:spacing w:after="0"/>
      </w:pPr>
      <w:r w:rsidRPr="006C0A5E">
        <w:t>Include prohibitions against the use of forced labour in our contracting processes.</w:t>
      </w:r>
    </w:p>
    <w:p w14:paraId="5CEDADCF" w14:textId="77777777" w:rsidR="00607BB3" w:rsidRDefault="00607BB3" w:rsidP="00607BB3">
      <w:pPr>
        <w:spacing w:after="0"/>
        <w:rPr>
          <w:b/>
          <w:bCs/>
        </w:rPr>
      </w:pPr>
    </w:p>
    <w:p w14:paraId="1A654EB3" w14:textId="25237935" w:rsidR="006C0A5E" w:rsidRPr="006C0A5E" w:rsidRDefault="006C0A5E" w:rsidP="00607BB3">
      <w:pPr>
        <w:spacing w:after="0"/>
        <w:rPr>
          <w:b/>
          <w:bCs/>
        </w:rPr>
      </w:pPr>
      <w:r w:rsidRPr="006C0A5E">
        <w:rPr>
          <w:b/>
          <w:bCs/>
        </w:rPr>
        <w:t>6. Training and Communication</w:t>
      </w:r>
    </w:p>
    <w:p w14:paraId="3B88DE3A" w14:textId="77777777" w:rsidR="006C0A5E" w:rsidRPr="006C0A5E" w:rsidRDefault="006C0A5E" w:rsidP="00607BB3">
      <w:pPr>
        <w:numPr>
          <w:ilvl w:val="0"/>
          <w:numId w:val="6"/>
        </w:numPr>
        <w:spacing w:after="0"/>
      </w:pPr>
      <w:r w:rsidRPr="006C0A5E">
        <w:t>Regular training will be provided to ensure staff can identify signs of harm and know how to report concerns.</w:t>
      </w:r>
    </w:p>
    <w:p w14:paraId="0CC22F90" w14:textId="77777777" w:rsidR="006C0A5E" w:rsidRPr="006C0A5E" w:rsidRDefault="006C0A5E" w:rsidP="00607BB3">
      <w:pPr>
        <w:numPr>
          <w:ilvl w:val="0"/>
          <w:numId w:val="6"/>
        </w:numPr>
        <w:spacing w:after="0"/>
      </w:pPr>
      <w:r w:rsidRPr="006C0A5E">
        <w:t>This zero-tolerance approach will be communicated to all suppliers, contractors, and partners.</w:t>
      </w:r>
    </w:p>
    <w:p w14:paraId="10A76EA6" w14:textId="77777777" w:rsidR="006C0A5E" w:rsidRPr="006C0A5E" w:rsidRDefault="006C0A5E" w:rsidP="00607BB3">
      <w:pPr>
        <w:numPr>
          <w:ilvl w:val="0"/>
          <w:numId w:val="6"/>
        </w:numPr>
        <w:spacing w:after="0"/>
      </w:pPr>
      <w:r w:rsidRPr="006C0A5E">
        <w:t>Training will be trauma-informed, equipping staff to assist and guide individuals with compassion and sensitivity.</w:t>
      </w:r>
    </w:p>
    <w:p w14:paraId="021D2A66" w14:textId="77777777" w:rsidR="00607BB3" w:rsidRDefault="00607BB3" w:rsidP="00607BB3">
      <w:pPr>
        <w:spacing w:after="0"/>
        <w:rPr>
          <w:b/>
          <w:bCs/>
        </w:rPr>
      </w:pPr>
    </w:p>
    <w:p w14:paraId="024C86CA" w14:textId="2531C9F3" w:rsidR="006C0A5E" w:rsidRPr="006C0A5E" w:rsidRDefault="006C0A5E" w:rsidP="00607BB3">
      <w:pPr>
        <w:spacing w:after="0"/>
        <w:rPr>
          <w:b/>
          <w:bCs/>
        </w:rPr>
      </w:pPr>
      <w:r w:rsidRPr="006C0A5E">
        <w:rPr>
          <w:b/>
          <w:bCs/>
        </w:rPr>
        <w:t>7. Policy Breach</w:t>
      </w:r>
    </w:p>
    <w:p w14:paraId="4CDB9480" w14:textId="77777777" w:rsidR="006C0A5E" w:rsidRPr="006C0A5E" w:rsidRDefault="006C0A5E" w:rsidP="00607BB3">
      <w:pPr>
        <w:numPr>
          <w:ilvl w:val="0"/>
          <w:numId w:val="7"/>
        </w:numPr>
        <w:spacing w:after="0"/>
      </w:pPr>
      <w:r w:rsidRPr="006C0A5E">
        <w:t>Any employee who breaches this policy will face disciplinary action, which could result in dismissal.</w:t>
      </w:r>
    </w:p>
    <w:p w14:paraId="1EDCD749" w14:textId="77777777" w:rsidR="006C0A5E" w:rsidRDefault="006C0A5E" w:rsidP="00607BB3">
      <w:pPr>
        <w:numPr>
          <w:ilvl w:val="0"/>
          <w:numId w:val="7"/>
        </w:numPr>
        <w:spacing w:after="0"/>
      </w:pPr>
      <w:r w:rsidRPr="006C0A5E">
        <w:t>The Company will terminate relationships with partners, suppliers, or contractors if they breach this policy.</w:t>
      </w:r>
    </w:p>
    <w:p w14:paraId="489D0E06" w14:textId="77777777" w:rsidR="00094104" w:rsidRDefault="00094104" w:rsidP="00094104"/>
    <w:tbl>
      <w:tblPr>
        <w:tblStyle w:val="GridTable4"/>
        <w:tblW w:w="0" w:type="auto"/>
        <w:tblLook w:val="04A0" w:firstRow="1" w:lastRow="0" w:firstColumn="1" w:lastColumn="0" w:noHBand="0" w:noVBand="1"/>
      </w:tblPr>
      <w:tblGrid>
        <w:gridCol w:w="2254"/>
        <w:gridCol w:w="1710"/>
        <w:gridCol w:w="2798"/>
        <w:gridCol w:w="2254"/>
      </w:tblGrid>
      <w:tr w:rsidR="00094104" w14:paraId="793F9675" w14:textId="77777777" w:rsidTr="007B1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4C6C1F6" w14:textId="790BAD9E" w:rsidR="00094104" w:rsidRDefault="00126D22" w:rsidP="00094104">
            <w:r>
              <w:t>Revision</w:t>
            </w:r>
          </w:p>
        </w:tc>
        <w:tc>
          <w:tcPr>
            <w:tcW w:w="1710" w:type="dxa"/>
          </w:tcPr>
          <w:p w14:paraId="380BE524" w14:textId="7E543B7F" w:rsidR="00094104" w:rsidRDefault="00126D22" w:rsidP="00094104">
            <w:pPr>
              <w:cnfStyle w:val="100000000000" w:firstRow="1" w:lastRow="0" w:firstColumn="0" w:lastColumn="0" w:oddVBand="0" w:evenVBand="0" w:oddHBand="0" w:evenHBand="0" w:firstRowFirstColumn="0" w:firstRowLastColumn="0" w:lastRowFirstColumn="0" w:lastRowLastColumn="0"/>
            </w:pPr>
            <w:r>
              <w:t>Date</w:t>
            </w:r>
          </w:p>
        </w:tc>
        <w:tc>
          <w:tcPr>
            <w:tcW w:w="2798" w:type="dxa"/>
          </w:tcPr>
          <w:p w14:paraId="3B6269B3" w14:textId="34DD9205" w:rsidR="00094104" w:rsidRDefault="00126D22" w:rsidP="00094104">
            <w:pPr>
              <w:cnfStyle w:val="100000000000" w:firstRow="1" w:lastRow="0" w:firstColumn="0" w:lastColumn="0" w:oddVBand="0" w:evenVBand="0" w:oddHBand="0" w:evenHBand="0" w:firstRowFirstColumn="0" w:firstRowLastColumn="0" w:lastRowFirstColumn="0" w:lastRowLastColumn="0"/>
            </w:pPr>
            <w:r>
              <w:t>Record of changes</w:t>
            </w:r>
          </w:p>
        </w:tc>
        <w:tc>
          <w:tcPr>
            <w:tcW w:w="2254" w:type="dxa"/>
          </w:tcPr>
          <w:p w14:paraId="497DC6C7" w14:textId="3834BD93" w:rsidR="00094104" w:rsidRDefault="00126D22" w:rsidP="00094104">
            <w:pPr>
              <w:cnfStyle w:val="100000000000" w:firstRow="1" w:lastRow="0" w:firstColumn="0" w:lastColumn="0" w:oddVBand="0" w:evenVBand="0" w:oddHBand="0" w:evenHBand="0" w:firstRowFirstColumn="0" w:firstRowLastColumn="0" w:lastRowFirstColumn="0" w:lastRowLastColumn="0"/>
            </w:pPr>
            <w:r>
              <w:t>Approved by</w:t>
            </w:r>
          </w:p>
        </w:tc>
      </w:tr>
      <w:tr w:rsidR="00094104" w14:paraId="5F442044" w14:textId="77777777" w:rsidTr="007B1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77C025D" w14:textId="7EB6CF3A" w:rsidR="00094104" w:rsidRDefault="00126D22" w:rsidP="00094104">
            <w:r>
              <w:t>1.0</w:t>
            </w:r>
          </w:p>
        </w:tc>
        <w:tc>
          <w:tcPr>
            <w:tcW w:w="1710" w:type="dxa"/>
          </w:tcPr>
          <w:p w14:paraId="0B736701" w14:textId="431F576E" w:rsidR="00094104" w:rsidRDefault="007B17C0" w:rsidP="00094104">
            <w:pPr>
              <w:cnfStyle w:val="000000100000" w:firstRow="0" w:lastRow="0" w:firstColumn="0" w:lastColumn="0" w:oddVBand="0" w:evenVBand="0" w:oddHBand="1" w:evenHBand="0" w:firstRowFirstColumn="0" w:firstRowLastColumn="0" w:lastRowFirstColumn="0" w:lastRowLastColumn="0"/>
            </w:pPr>
            <w:r>
              <w:t>1</w:t>
            </w:r>
            <w:r w:rsidRPr="007B17C0">
              <w:rPr>
                <w:vertAlign w:val="superscript"/>
              </w:rPr>
              <w:t>st</w:t>
            </w:r>
            <w:r>
              <w:t xml:space="preserve"> </w:t>
            </w:r>
            <w:r w:rsidR="0041135B">
              <w:t>Apr</w:t>
            </w:r>
            <w:r>
              <w:t>il</w:t>
            </w:r>
            <w:r w:rsidR="0041135B">
              <w:t xml:space="preserve"> 2025</w:t>
            </w:r>
          </w:p>
        </w:tc>
        <w:tc>
          <w:tcPr>
            <w:tcW w:w="2798" w:type="dxa"/>
          </w:tcPr>
          <w:p w14:paraId="65435433" w14:textId="29B6CA8C" w:rsidR="00094104" w:rsidRDefault="00126D22" w:rsidP="00094104">
            <w:pPr>
              <w:cnfStyle w:val="000000100000" w:firstRow="0" w:lastRow="0" w:firstColumn="0" w:lastColumn="0" w:oddVBand="0" w:evenVBand="0" w:oddHBand="1" w:evenHBand="0" w:firstRowFirstColumn="0" w:firstRowLastColumn="0" w:lastRowFirstColumn="0" w:lastRowLastColumn="0"/>
            </w:pPr>
            <w:r>
              <w:t>Initial issue</w:t>
            </w:r>
          </w:p>
        </w:tc>
        <w:tc>
          <w:tcPr>
            <w:tcW w:w="2254" w:type="dxa"/>
          </w:tcPr>
          <w:p w14:paraId="63020344" w14:textId="50C279DB" w:rsidR="00094104" w:rsidRDefault="00126D22" w:rsidP="00094104">
            <w:pPr>
              <w:cnfStyle w:val="000000100000" w:firstRow="0" w:lastRow="0" w:firstColumn="0" w:lastColumn="0" w:oddVBand="0" w:evenVBand="0" w:oddHBand="1" w:evenHBand="0" w:firstRowFirstColumn="0" w:firstRowLastColumn="0" w:lastRowFirstColumn="0" w:lastRowLastColumn="0"/>
            </w:pPr>
            <w:r>
              <w:t>Board</w:t>
            </w:r>
          </w:p>
        </w:tc>
      </w:tr>
      <w:tr w:rsidR="00094104" w14:paraId="60C0A547" w14:textId="77777777" w:rsidTr="007B17C0">
        <w:tc>
          <w:tcPr>
            <w:cnfStyle w:val="001000000000" w:firstRow="0" w:lastRow="0" w:firstColumn="1" w:lastColumn="0" w:oddVBand="0" w:evenVBand="0" w:oddHBand="0" w:evenHBand="0" w:firstRowFirstColumn="0" w:firstRowLastColumn="0" w:lastRowFirstColumn="0" w:lastRowLastColumn="0"/>
            <w:tcW w:w="2254" w:type="dxa"/>
          </w:tcPr>
          <w:p w14:paraId="5396C55E" w14:textId="77777777" w:rsidR="00094104" w:rsidRDefault="00094104" w:rsidP="00094104"/>
        </w:tc>
        <w:tc>
          <w:tcPr>
            <w:tcW w:w="1710" w:type="dxa"/>
          </w:tcPr>
          <w:p w14:paraId="5A1E79DE"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c>
          <w:tcPr>
            <w:tcW w:w="2798" w:type="dxa"/>
          </w:tcPr>
          <w:p w14:paraId="5E3627DE"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c>
          <w:tcPr>
            <w:tcW w:w="2254" w:type="dxa"/>
          </w:tcPr>
          <w:p w14:paraId="5EA450E7"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r>
      <w:tr w:rsidR="00094104" w14:paraId="488B14BE" w14:textId="77777777" w:rsidTr="007B1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9917C31" w14:textId="77777777" w:rsidR="00094104" w:rsidRDefault="00094104" w:rsidP="00094104"/>
        </w:tc>
        <w:tc>
          <w:tcPr>
            <w:tcW w:w="1710" w:type="dxa"/>
          </w:tcPr>
          <w:p w14:paraId="3D56571E" w14:textId="77777777" w:rsidR="00094104" w:rsidRDefault="00094104" w:rsidP="00094104">
            <w:pPr>
              <w:cnfStyle w:val="000000100000" w:firstRow="0" w:lastRow="0" w:firstColumn="0" w:lastColumn="0" w:oddVBand="0" w:evenVBand="0" w:oddHBand="1" w:evenHBand="0" w:firstRowFirstColumn="0" w:firstRowLastColumn="0" w:lastRowFirstColumn="0" w:lastRowLastColumn="0"/>
            </w:pPr>
          </w:p>
        </w:tc>
        <w:tc>
          <w:tcPr>
            <w:tcW w:w="2798" w:type="dxa"/>
          </w:tcPr>
          <w:p w14:paraId="3458E248" w14:textId="77777777" w:rsidR="00094104" w:rsidRDefault="00094104" w:rsidP="00094104">
            <w:pPr>
              <w:cnfStyle w:val="000000100000" w:firstRow="0" w:lastRow="0" w:firstColumn="0" w:lastColumn="0" w:oddVBand="0" w:evenVBand="0" w:oddHBand="1" w:evenHBand="0" w:firstRowFirstColumn="0" w:firstRowLastColumn="0" w:lastRowFirstColumn="0" w:lastRowLastColumn="0"/>
            </w:pPr>
          </w:p>
        </w:tc>
        <w:tc>
          <w:tcPr>
            <w:tcW w:w="2254" w:type="dxa"/>
          </w:tcPr>
          <w:p w14:paraId="50EDA977" w14:textId="77777777" w:rsidR="00094104" w:rsidRDefault="00094104" w:rsidP="00094104">
            <w:pPr>
              <w:cnfStyle w:val="000000100000" w:firstRow="0" w:lastRow="0" w:firstColumn="0" w:lastColumn="0" w:oddVBand="0" w:evenVBand="0" w:oddHBand="1" w:evenHBand="0" w:firstRowFirstColumn="0" w:firstRowLastColumn="0" w:lastRowFirstColumn="0" w:lastRowLastColumn="0"/>
            </w:pPr>
          </w:p>
        </w:tc>
      </w:tr>
      <w:tr w:rsidR="00094104" w14:paraId="6AAF1BD3" w14:textId="77777777" w:rsidTr="007B17C0">
        <w:tc>
          <w:tcPr>
            <w:cnfStyle w:val="001000000000" w:firstRow="0" w:lastRow="0" w:firstColumn="1" w:lastColumn="0" w:oddVBand="0" w:evenVBand="0" w:oddHBand="0" w:evenHBand="0" w:firstRowFirstColumn="0" w:firstRowLastColumn="0" w:lastRowFirstColumn="0" w:lastRowLastColumn="0"/>
            <w:tcW w:w="2254" w:type="dxa"/>
          </w:tcPr>
          <w:p w14:paraId="1AA7A70D" w14:textId="77777777" w:rsidR="00094104" w:rsidRDefault="00094104" w:rsidP="00094104"/>
        </w:tc>
        <w:tc>
          <w:tcPr>
            <w:tcW w:w="1710" w:type="dxa"/>
          </w:tcPr>
          <w:p w14:paraId="2CC05206"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c>
          <w:tcPr>
            <w:tcW w:w="2798" w:type="dxa"/>
          </w:tcPr>
          <w:p w14:paraId="691781C6"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c>
          <w:tcPr>
            <w:tcW w:w="2254" w:type="dxa"/>
          </w:tcPr>
          <w:p w14:paraId="45DA81B7" w14:textId="77777777" w:rsidR="00094104" w:rsidRDefault="00094104" w:rsidP="00094104">
            <w:pPr>
              <w:cnfStyle w:val="000000000000" w:firstRow="0" w:lastRow="0" w:firstColumn="0" w:lastColumn="0" w:oddVBand="0" w:evenVBand="0" w:oddHBand="0" w:evenHBand="0" w:firstRowFirstColumn="0" w:firstRowLastColumn="0" w:lastRowFirstColumn="0" w:lastRowLastColumn="0"/>
            </w:pPr>
          </w:p>
        </w:tc>
      </w:tr>
    </w:tbl>
    <w:p w14:paraId="6B723C37" w14:textId="77777777" w:rsidR="0047530D" w:rsidRDefault="0047530D" w:rsidP="0041135B"/>
    <w:sectPr w:rsidR="0047530D" w:rsidSect="00F867F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99FA" w14:textId="77777777" w:rsidR="00C817F6" w:rsidRDefault="00C817F6" w:rsidP="009D594D">
      <w:pPr>
        <w:spacing w:after="0" w:line="240" w:lineRule="auto"/>
      </w:pPr>
      <w:r>
        <w:separator/>
      </w:r>
    </w:p>
  </w:endnote>
  <w:endnote w:type="continuationSeparator" w:id="0">
    <w:p w14:paraId="6E1F5B2E" w14:textId="77777777" w:rsidR="00C817F6" w:rsidRDefault="00C817F6" w:rsidP="009D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3AD5" w14:textId="77777777" w:rsidR="00C817F6" w:rsidRDefault="00C817F6" w:rsidP="009D594D">
      <w:pPr>
        <w:spacing w:after="0" w:line="240" w:lineRule="auto"/>
      </w:pPr>
      <w:r>
        <w:separator/>
      </w:r>
    </w:p>
  </w:footnote>
  <w:footnote w:type="continuationSeparator" w:id="0">
    <w:p w14:paraId="03109389" w14:textId="77777777" w:rsidR="00C817F6" w:rsidRDefault="00C817F6" w:rsidP="009D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8D20" w14:textId="3815B8E9" w:rsidR="00F867FB" w:rsidRDefault="00F867FB">
    <w:pPr>
      <w:pStyle w:val="Header"/>
    </w:pPr>
    <w:r>
      <w:rPr>
        <w:noProof/>
      </w:rPr>
      <w:drawing>
        <wp:inline distT="0" distB="0" distL="0" distR="0" wp14:anchorId="34639CC9" wp14:editId="6C829233">
          <wp:extent cx="1152381" cy="895238"/>
          <wp:effectExtent l="0" t="0" r="0" b="635"/>
          <wp:docPr id="1756551768"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51768" name="Picture 1" descr="A green and white sign&#10;&#10;AI-generated content may be incorrect."/>
                  <pic:cNvPicPr/>
                </pic:nvPicPr>
                <pic:blipFill>
                  <a:blip r:embed="rId1"/>
                  <a:stretch>
                    <a:fillRect/>
                  </a:stretch>
                </pic:blipFill>
                <pic:spPr>
                  <a:xfrm>
                    <a:off x="0" y="0"/>
                    <a:ext cx="1152381" cy="8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CE6"/>
    <w:multiLevelType w:val="multilevel"/>
    <w:tmpl w:val="755C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F470B"/>
    <w:multiLevelType w:val="multilevel"/>
    <w:tmpl w:val="536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5085F"/>
    <w:multiLevelType w:val="multilevel"/>
    <w:tmpl w:val="B24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82934"/>
    <w:multiLevelType w:val="multilevel"/>
    <w:tmpl w:val="BDD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F52F5"/>
    <w:multiLevelType w:val="multilevel"/>
    <w:tmpl w:val="AE7C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D72A9"/>
    <w:multiLevelType w:val="multilevel"/>
    <w:tmpl w:val="1E3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E5C9D"/>
    <w:multiLevelType w:val="multilevel"/>
    <w:tmpl w:val="9FC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535009">
    <w:abstractNumId w:val="5"/>
  </w:num>
  <w:num w:numId="2" w16cid:durableId="1980528372">
    <w:abstractNumId w:val="1"/>
  </w:num>
  <w:num w:numId="3" w16cid:durableId="439884801">
    <w:abstractNumId w:val="2"/>
  </w:num>
  <w:num w:numId="4" w16cid:durableId="1329595240">
    <w:abstractNumId w:val="0"/>
  </w:num>
  <w:num w:numId="5" w16cid:durableId="1129276027">
    <w:abstractNumId w:val="3"/>
  </w:num>
  <w:num w:numId="6" w16cid:durableId="2121407906">
    <w:abstractNumId w:val="4"/>
  </w:num>
  <w:num w:numId="7" w16cid:durableId="385839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55"/>
    <w:rsid w:val="0004345E"/>
    <w:rsid w:val="00094104"/>
    <w:rsid w:val="00126D22"/>
    <w:rsid w:val="001C1CEB"/>
    <w:rsid w:val="0041135B"/>
    <w:rsid w:val="0047530D"/>
    <w:rsid w:val="004D5A2A"/>
    <w:rsid w:val="00607BB3"/>
    <w:rsid w:val="0068328E"/>
    <w:rsid w:val="006C0A5E"/>
    <w:rsid w:val="0073203C"/>
    <w:rsid w:val="0075277A"/>
    <w:rsid w:val="007643D2"/>
    <w:rsid w:val="007B17C0"/>
    <w:rsid w:val="007C0F55"/>
    <w:rsid w:val="007C2E87"/>
    <w:rsid w:val="008038FC"/>
    <w:rsid w:val="009D594D"/>
    <w:rsid w:val="00C817F6"/>
    <w:rsid w:val="00ED530B"/>
    <w:rsid w:val="00F86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70A2"/>
  <w15:chartTrackingRefBased/>
  <w15:docId w15:val="{CE95A08A-6D95-4422-B131-4468DF15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F55"/>
    <w:rPr>
      <w:rFonts w:eastAsiaTheme="majorEastAsia" w:cstheme="majorBidi"/>
      <w:color w:val="272727" w:themeColor="text1" w:themeTint="D8"/>
    </w:rPr>
  </w:style>
  <w:style w:type="paragraph" w:styleId="Title">
    <w:name w:val="Title"/>
    <w:basedOn w:val="Normal"/>
    <w:next w:val="Normal"/>
    <w:link w:val="TitleChar"/>
    <w:uiPriority w:val="10"/>
    <w:qFormat/>
    <w:rsid w:val="007C0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F55"/>
    <w:pPr>
      <w:spacing w:before="160"/>
      <w:jc w:val="center"/>
    </w:pPr>
    <w:rPr>
      <w:i/>
      <w:iCs/>
      <w:color w:val="404040" w:themeColor="text1" w:themeTint="BF"/>
    </w:rPr>
  </w:style>
  <w:style w:type="character" w:customStyle="1" w:styleId="QuoteChar">
    <w:name w:val="Quote Char"/>
    <w:basedOn w:val="DefaultParagraphFont"/>
    <w:link w:val="Quote"/>
    <w:uiPriority w:val="29"/>
    <w:rsid w:val="007C0F55"/>
    <w:rPr>
      <w:i/>
      <w:iCs/>
      <w:color w:val="404040" w:themeColor="text1" w:themeTint="BF"/>
    </w:rPr>
  </w:style>
  <w:style w:type="paragraph" w:styleId="ListParagraph">
    <w:name w:val="List Paragraph"/>
    <w:basedOn w:val="Normal"/>
    <w:uiPriority w:val="34"/>
    <w:qFormat/>
    <w:rsid w:val="007C0F55"/>
    <w:pPr>
      <w:ind w:left="720"/>
      <w:contextualSpacing/>
    </w:pPr>
  </w:style>
  <w:style w:type="character" w:styleId="IntenseEmphasis">
    <w:name w:val="Intense Emphasis"/>
    <w:basedOn w:val="DefaultParagraphFont"/>
    <w:uiPriority w:val="21"/>
    <w:qFormat/>
    <w:rsid w:val="007C0F55"/>
    <w:rPr>
      <w:i/>
      <w:iCs/>
      <w:color w:val="0F4761" w:themeColor="accent1" w:themeShade="BF"/>
    </w:rPr>
  </w:style>
  <w:style w:type="paragraph" w:styleId="IntenseQuote">
    <w:name w:val="Intense Quote"/>
    <w:basedOn w:val="Normal"/>
    <w:next w:val="Normal"/>
    <w:link w:val="IntenseQuoteChar"/>
    <w:uiPriority w:val="30"/>
    <w:qFormat/>
    <w:rsid w:val="007C0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F55"/>
    <w:rPr>
      <w:i/>
      <w:iCs/>
      <w:color w:val="0F4761" w:themeColor="accent1" w:themeShade="BF"/>
    </w:rPr>
  </w:style>
  <w:style w:type="character" w:styleId="IntenseReference">
    <w:name w:val="Intense Reference"/>
    <w:basedOn w:val="DefaultParagraphFont"/>
    <w:uiPriority w:val="32"/>
    <w:qFormat/>
    <w:rsid w:val="007C0F55"/>
    <w:rPr>
      <w:b/>
      <w:bCs/>
      <w:smallCaps/>
      <w:color w:val="0F4761" w:themeColor="accent1" w:themeShade="BF"/>
      <w:spacing w:val="5"/>
    </w:rPr>
  </w:style>
  <w:style w:type="table" w:styleId="TableGrid">
    <w:name w:val="Table Grid"/>
    <w:basedOn w:val="TableNormal"/>
    <w:uiPriority w:val="39"/>
    <w:rsid w:val="0009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941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D5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94D"/>
  </w:style>
  <w:style w:type="paragraph" w:styleId="Footer">
    <w:name w:val="footer"/>
    <w:basedOn w:val="Normal"/>
    <w:link w:val="FooterChar"/>
    <w:uiPriority w:val="99"/>
    <w:unhideWhenUsed/>
    <w:rsid w:val="009D5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743</Words>
  <Characters>4543</Characters>
  <Application>Microsoft Office Word</Application>
  <DocSecurity>0</DocSecurity>
  <Lines>100</Lines>
  <Paragraphs>60</Paragraphs>
  <ScaleCrop>false</ScaleCrop>
  <Company>University of Lincoln</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Aliyu</dc:creator>
  <cp:keywords/>
  <dc:description/>
  <cp:lastModifiedBy>Ali Aliyu</cp:lastModifiedBy>
  <cp:revision>16</cp:revision>
  <dcterms:created xsi:type="dcterms:W3CDTF">2026-01-10T19:47:00Z</dcterms:created>
  <dcterms:modified xsi:type="dcterms:W3CDTF">2026-01-10T20:59:00Z</dcterms:modified>
</cp:coreProperties>
</file>